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2D4C71" w14:textId="448FBDEE" w:rsidR="00B91E6A" w:rsidRPr="0084298E" w:rsidRDefault="00B83B3D">
      <w:pPr>
        <w:pStyle w:val="divname"/>
        <w:rPr>
          <w:rFonts w:ascii="Palatino Linotype" w:eastAsia="Palatino Linotype" w:hAnsi="Palatino Linotype" w:cs="Palatino Linotype"/>
          <w:lang w:val="en-CA"/>
        </w:rPr>
      </w:pPr>
      <w:r w:rsidRPr="0084298E">
        <w:rPr>
          <w:rStyle w:val="span"/>
          <w:rFonts w:ascii="Palatino Linotype" w:eastAsia="Palatino Linotype" w:hAnsi="Palatino Linotype" w:cs="Palatino Linotype"/>
          <w:sz w:val="36"/>
          <w:szCs w:val="36"/>
          <w:lang w:val="en-CA"/>
        </w:rPr>
        <w:t xml:space="preserve">Professional </w:t>
      </w:r>
      <w:r w:rsidR="009A6D3D" w:rsidRPr="0084298E">
        <w:rPr>
          <w:rStyle w:val="span"/>
          <w:rFonts w:ascii="Palatino Linotype" w:eastAsia="Palatino Linotype" w:hAnsi="Palatino Linotype" w:cs="Palatino Linotype"/>
          <w:sz w:val="36"/>
          <w:szCs w:val="36"/>
          <w:lang w:val="en-CA"/>
        </w:rPr>
        <w:t>Bio</w:t>
      </w:r>
      <w:r w:rsidRPr="0084298E">
        <w:rPr>
          <w:rStyle w:val="span"/>
          <w:rFonts w:ascii="Palatino Linotype" w:eastAsia="Palatino Linotype" w:hAnsi="Palatino Linotype" w:cs="Palatino Linotype"/>
          <w:sz w:val="36"/>
          <w:szCs w:val="36"/>
          <w:lang w:val="en-CA"/>
        </w:rPr>
        <w:t>graphy</w:t>
      </w:r>
      <w:r w:rsidR="009A6D3D" w:rsidRPr="0084298E">
        <w:rPr>
          <w:rStyle w:val="span"/>
          <w:rFonts w:ascii="Palatino Linotype" w:eastAsia="Palatino Linotype" w:hAnsi="Palatino Linotype" w:cs="Palatino Linotype"/>
          <w:sz w:val="36"/>
          <w:szCs w:val="36"/>
          <w:lang w:val="en-CA"/>
        </w:rPr>
        <w:t>: Louis</w:t>
      </w:r>
      <w:r w:rsidR="009A6D3D" w:rsidRPr="0084298E">
        <w:rPr>
          <w:rFonts w:ascii="Palatino Linotype" w:eastAsia="Palatino Linotype" w:hAnsi="Palatino Linotype" w:cs="Palatino Linotype"/>
          <w:lang w:val="en-CA"/>
        </w:rPr>
        <w:t xml:space="preserve"> </w:t>
      </w:r>
      <w:r w:rsidR="009A6D3D" w:rsidRPr="0084298E">
        <w:rPr>
          <w:rStyle w:val="span"/>
          <w:rFonts w:ascii="Palatino Linotype" w:eastAsia="Palatino Linotype" w:hAnsi="Palatino Linotype" w:cs="Palatino Linotype"/>
          <w:sz w:val="36"/>
          <w:szCs w:val="36"/>
          <w:lang w:val="en-CA"/>
        </w:rPr>
        <w:t>Gaal</w:t>
      </w:r>
    </w:p>
    <w:p w14:paraId="1C992B55" w14:textId="605B30C6" w:rsidR="00B91E6A" w:rsidRPr="0084298E" w:rsidRDefault="00000000">
      <w:pPr>
        <w:pStyle w:val="div"/>
        <w:spacing w:line="280" w:lineRule="atLeast"/>
        <w:jc w:val="center"/>
        <w:rPr>
          <w:rFonts w:ascii="Palatino" w:eastAsia="Palatino Linotype" w:hAnsi="Palatino" w:cs="Palatino Linotype"/>
          <w:sz w:val="20"/>
          <w:szCs w:val="20"/>
          <w:lang w:val="en-CA"/>
        </w:rPr>
      </w:pPr>
      <w:r w:rsidRPr="0084298E">
        <w:rPr>
          <w:rStyle w:val="span"/>
          <w:rFonts w:ascii="Palatino" w:eastAsia="Palatino Linotype" w:hAnsi="Palatino" w:cs="Palatino Linotype"/>
          <w:sz w:val="20"/>
          <w:szCs w:val="20"/>
          <w:lang w:val="en-CA"/>
        </w:rPr>
        <w:t>(613) 698-7685</w:t>
      </w:r>
      <w:r w:rsidR="009A6D3D" w:rsidRPr="0084298E">
        <w:rPr>
          <w:rStyle w:val="span"/>
          <w:rFonts w:ascii="Palatino" w:eastAsia="Palatino Linotype" w:hAnsi="Palatino" w:cs="Palatino Linotype"/>
          <w:sz w:val="20"/>
          <w:szCs w:val="20"/>
          <w:lang w:val="en-CA"/>
        </w:rPr>
        <w:t xml:space="preserve"> - </w:t>
      </w:r>
      <w:r w:rsidRPr="0084298E">
        <w:rPr>
          <w:rStyle w:val="span"/>
          <w:rFonts w:ascii="Palatino" w:eastAsia="Palatino Linotype" w:hAnsi="Palatino" w:cs="Palatino Linotype"/>
          <w:sz w:val="20"/>
          <w:szCs w:val="20"/>
          <w:lang w:val="en-CA"/>
        </w:rPr>
        <w:t>louis@louisgaal.com</w:t>
      </w:r>
    </w:p>
    <w:p w14:paraId="7E46E881" w14:textId="1C0ADB16" w:rsidR="00B91E6A" w:rsidRPr="009A6D3D" w:rsidRDefault="00000000" w:rsidP="00953838">
      <w:pPr>
        <w:pStyle w:val="p"/>
        <w:spacing w:before="100" w:line="300" w:lineRule="atLeast"/>
        <w:rPr>
          <w:rFonts w:ascii="Palatino" w:eastAsia="Palatino Linotype" w:hAnsi="Palatino" w:cs="Palatino Linotype"/>
          <w:sz w:val="20"/>
          <w:szCs w:val="20"/>
        </w:rPr>
      </w:pPr>
      <w:r w:rsidRPr="009A6D3D">
        <w:rPr>
          <w:rFonts w:ascii="Palatino" w:eastAsia="Palatino Linotype" w:hAnsi="Palatino" w:cs="Palatino Linotype"/>
          <w:sz w:val="20"/>
          <w:szCs w:val="20"/>
        </w:rPr>
        <w:t>Louis Gaal is a multilingual IM/IT strategist with over three decades of experience guiding enterprise modernization across Canada's most complex government and telecommunications environments. His career is defined by a rare ability to integrate senior project leadership, business systems analysis, and high-precision technical documentation—bringing structure, clarity, and strategic direction to programs with national impact. Adept in English, French, and Hungarian, he navigates cross-functional teams with ease, aligning diverse stakeholders around shared operational and strategic objectives.</w:t>
      </w:r>
      <w:r w:rsidRPr="009A6D3D">
        <w:rPr>
          <w:rFonts w:ascii="Palatino" w:eastAsia="Palatino Linotype" w:hAnsi="Palatino" w:cs="Palatino Linotype"/>
          <w:sz w:val="20"/>
          <w:szCs w:val="20"/>
        </w:rPr>
        <w:br/>
        <w:t xml:space="preserve">Throughout his career, Louis has led transformative initiatives spanning secure network modernization, AI-driven analytics, digital case management, enterprise SharePoint governance, </w:t>
      </w:r>
      <w:r w:rsidR="002D2B8F">
        <w:rPr>
          <w:rFonts w:ascii="Palatino" w:eastAsia="Palatino Linotype" w:hAnsi="Palatino" w:cs="Palatino Linotype"/>
          <w:sz w:val="20"/>
          <w:szCs w:val="20"/>
        </w:rPr>
        <w:t xml:space="preserve">risk analysis, </w:t>
      </w:r>
      <w:r w:rsidRPr="009A6D3D">
        <w:rPr>
          <w:rFonts w:ascii="Palatino" w:eastAsia="Palatino Linotype" w:hAnsi="Palatino" w:cs="Palatino Linotype"/>
          <w:sz w:val="20"/>
          <w:szCs w:val="20"/>
        </w:rPr>
        <w:t xml:space="preserve">and large-scale process optimization. His expertise in requirements </w:t>
      </w:r>
      <w:r w:rsidR="002D2B8F">
        <w:rPr>
          <w:rFonts w:ascii="Palatino" w:eastAsia="Palatino Linotype" w:hAnsi="Palatino" w:cs="Palatino Linotype"/>
          <w:sz w:val="20"/>
          <w:szCs w:val="20"/>
        </w:rPr>
        <w:t>and process re-</w:t>
      </w:r>
      <w:r w:rsidRPr="009A6D3D">
        <w:rPr>
          <w:rFonts w:ascii="Palatino" w:eastAsia="Palatino Linotype" w:hAnsi="Palatino" w:cs="Palatino Linotype"/>
          <w:sz w:val="20"/>
          <w:szCs w:val="20"/>
        </w:rPr>
        <w:t>engineering—across BRD, TRD, FRD, URD, and comprehensive fit-gap analyses—positions him as the anchor for programs that demand both rigorous logic and nuanced communication. Whether designing workflows, building executive-ready reporting ecosystems, or orchestrating enterprise-wide governance reforms, Louis excels at translating complexity into actionable, measurable outcomes.</w:t>
      </w:r>
    </w:p>
    <w:p w14:paraId="57B6FA10" w14:textId="4C7C19EA" w:rsidR="00B91E6A" w:rsidRPr="009A6D3D" w:rsidRDefault="00000000">
      <w:pPr>
        <w:pStyle w:val="p"/>
        <w:spacing w:line="300" w:lineRule="atLeast"/>
        <w:rPr>
          <w:rFonts w:ascii="Palatino" w:eastAsia="Palatino Linotype" w:hAnsi="Palatino" w:cs="Palatino Linotype"/>
          <w:sz w:val="20"/>
          <w:szCs w:val="20"/>
        </w:rPr>
      </w:pPr>
      <w:r w:rsidRPr="009A6D3D">
        <w:rPr>
          <w:rFonts w:ascii="Palatino" w:eastAsia="Palatino Linotype" w:hAnsi="Palatino" w:cs="Palatino Linotype"/>
          <w:sz w:val="20"/>
          <w:szCs w:val="20"/>
        </w:rPr>
        <w:t>Louis is widely recognized for elevating organizational maturity through methodical problem-solving, risk assessment, and governance-strengthening strategies. He brings a consultant's precision and a leader's foresight, consistently enhancing decision-making for executives and senior management. His work has enabled federal institutions to adopt new technologies, streamline legacy processes, and modernize service delivery while maintaining impeccable documentation and compliance standards.</w:t>
      </w:r>
      <w:r w:rsidRPr="009A6D3D">
        <w:rPr>
          <w:rFonts w:ascii="Palatino" w:eastAsia="Palatino Linotype" w:hAnsi="Palatino" w:cs="Palatino Linotype"/>
          <w:sz w:val="20"/>
          <w:szCs w:val="20"/>
        </w:rPr>
        <w:br/>
        <w:t xml:space="preserve">Trusted by </w:t>
      </w:r>
      <w:r w:rsidRPr="009A6D3D">
        <w:rPr>
          <w:rFonts w:ascii="Palatino" w:eastAsia="Palatino Linotype" w:hAnsi="Palatino" w:cs="Palatino Linotype"/>
          <w:b/>
          <w:bCs/>
          <w:sz w:val="20"/>
          <w:szCs w:val="20"/>
        </w:rPr>
        <w:t xml:space="preserve">Shared Services Canada, IRCC, DND, CFIA, NSERC, </w:t>
      </w:r>
      <w:r w:rsidRPr="009A6D3D">
        <w:rPr>
          <w:rFonts w:ascii="Palatino" w:eastAsia="Palatino Linotype" w:hAnsi="Palatino" w:cs="Palatino Linotype"/>
          <w:sz w:val="20"/>
          <w:szCs w:val="20"/>
        </w:rPr>
        <w:t>the</w:t>
      </w:r>
      <w:r w:rsidRPr="009A6D3D">
        <w:rPr>
          <w:rFonts w:ascii="Palatino" w:eastAsia="Palatino Linotype" w:hAnsi="Palatino" w:cs="Palatino Linotype"/>
          <w:b/>
          <w:bCs/>
          <w:sz w:val="20"/>
          <w:szCs w:val="20"/>
        </w:rPr>
        <w:t xml:space="preserve"> Bank of Canada</w:t>
      </w:r>
      <w:r w:rsidRPr="009A6D3D">
        <w:rPr>
          <w:rFonts w:ascii="Palatino" w:eastAsia="Palatino Linotype" w:hAnsi="Palatino" w:cs="Palatino Linotype"/>
          <w:sz w:val="20"/>
          <w:szCs w:val="20"/>
        </w:rPr>
        <w:t xml:space="preserve">, and numerous other federal bodies, Louis remains a respected partner in shaping Canada's digital future. His </w:t>
      </w:r>
      <w:r w:rsidR="009A6D3D">
        <w:rPr>
          <w:rFonts w:ascii="Palatino" w:eastAsia="Palatino Linotype" w:hAnsi="Palatino" w:cs="Palatino Linotype"/>
          <w:sz w:val="20"/>
          <w:szCs w:val="20"/>
        </w:rPr>
        <w:t xml:space="preserve">Reliability, Secret, and </w:t>
      </w:r>
      <w:proofErr w:type="gramStart"/>
      <w:r w:rsidRPr="009A6D3D">
        <w:rPr>
          <w:rFonts w:ascii="Palatino" w:eastAsia="Palatino Linotype" w:hAnsi="Palatino" w:cs="Palatino Linotype"/>
          <w:sz w:val="20"/>
          <w:szCs w:val="20"/>
        </w:rPr>
        <w:t>Top Secret</w:t>
      </w:r>
      <w:proofErr w:type="gramEnd"/>
      <w:r w:rsidRPr="009A6D3D">
        <w:rPr>
          <w:rFonts w:ascii="Palatino" w:eastAsia="Palatino Linotype" w:hAnsi="Palatino" w:cs="Palatino Linotype"/>
          <w:sz w:val="20"/>
          <w:szCs w:val="20"/>
        </w:rPr>
        <w:t xml:space="preserve"> clearance</w:t>
      </w:r>
      <w:r w:rsidR="009A6D3D">
        <w:rPr>
          <w:rFonts w:ascii="Palatino" w:eastAsia="Palatino Linotype" w:hAnsi="Palatino" w:cs="Palatino Linotype"/>
          <w:sz w:val="20"/>
          <w:szCs w:val="20"/>
        </w:rPr>
        <w:t>s</w:t>
      </w:r>
      <w:r w:rsidRPr="009A6D3D">
        <w:rPr>
          <w:rFonts w:ascii="Palatino" w:eastAsia="Palatino Linotype" w:hAnsi="Palatino" w:cs="Palatino Linotype"/>
          <w:sz w:val="20"/>
          <w:szCs w:val="20"/>
        </w:rPr>
        <w:t xml:space="preserve"> underscore his credibility in sensitive, high-stakes environments, while his reputation for operational excellence continues to position him as a go-to expert for mission-critical transformation programs.</w:t>
      </w:r>
    </w:p>
    <w:p w14:paraId="16BAE211" w14:textId="70C557EB" w:rsidR="009A6D3D" w:rsidRPr="009A6D3D" w:rsidRDefault="009A6D3D" w:rsidP="009A6D3D">
      <w:pPr>
        <w:pStyle w:val="p"/>
        <w:spacing w:line="300" w:lineRule="atLeast"/>
        <w:rPr>
          <w:rFonts w:ascii="Palatino" w:eastAsia="Palatino Linotype" w:hAnsi="Palatino" w:cs="Palatino Linotype"/>
          <w:sz w:val="20"/>
          <w:szCs w:val="20"/>
          <w:lang w:val="en-CA"/>
        </w:rPr>
      </w:pP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 xml:space="preserve">As the founder of </w:t>
      </w:r>
      <w:r w:rsidRPr="009A6D3D">
        <w:rPr>
          <w:rFonts w:ascii="Palatino" w:eastAsia="Palatino Linotype" w:hAnsi="Palatino" w:cs="Palatino Linotype"/>
          <w:b/>
          <w:bCs/>
          <w:sz w:val="20"/>
          <w:szCs w:val="20"/>
          <w:lang w:val="en-CA"/>
        </w:rPr>
        <w:t>Blue Gypsy Wines</w:t>
      </w: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 xml:space="preserve"> and </w:t>
      </w:r>
      <w:r w:rsidRPr="009A6D3D">
        <w:rPr>
          <w:rFonts w:ascii="Palatino" w:eastAsia="Palatino Linotype" w:hAnsi="Palatino" w:cs="Palatino Linotype"/>
          <w:b/>
          <w:bCs/>
          <w:sz w:val="20"/>
          <w:szCs w:val="20"/>
          <w:lang w:val="en-CA"/>
        </w:rPr>
        <w:t>Blue Gypsy Homestead</w:t>
      </w: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 xml:space="preserve">, </w:t>
      </w:r>
      <w:r w:rsidR="002D2B8F" w:rsidRPr="009A6D3D">
        <w:rPr>
          <w:rFonts w:ascii="Palatino" w:eastAsia="Palatino Linotype" w:hAnsi="Palatino" w:cs="Palatino Linotype"/>
          <w:sz w:val="20"/>
          <w:szCs w:val="20"/>
        </w:rPr>
        <w:t xml:space="preserve">Louis </w:t>
      </w: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 xml:space="preserve">brings a unique blend of high-level strategic planning and "boots-on-the-ground" operational grit. Between 2011 and 2019, he built and operated an off-grid winery from the ground up, transforming it into a masterclass in business administration, </w:t>
      </w:r>
      <w:r w:rsidR="002D2B8F">
        <w:rPr>
          <w:rFonts w:ascii="Palatino" w:eastAsia="Palatino Linotype" w:hAnsi="Palatino" w:cs="Palatino Linotype"/>
          <w:sz w:val="20"/>
          <w:szCs w:val="20"/>
          <w:lang w:val="en-CA"/>
        </w:rPr>
        <w:t xml:space="preserve">marketing, </w:t>
      </w: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>regulatory navigation, and adaptive leadership.</w:t>
      </w:r>
    </w:p>
    <w:p w14:paraId="2628A49B" w14:textId="3904601F" w:rsidR="009A6D3D" w:rsidRPr="009A6D3D" w:rsidRDefault="009A6D3D" w:rsidP="009A6D3D">
      <w:pPr>
        <w:pStyle w:val="p"/>
        <w:spacing w:line="300" w:lineRule="atLeast"/>
        <w:rPr>
          <w:rFonts w:ascii="Palatino" w:eastAsia="Palatino Linotype" w:hAnsi="Palatino" w:cs="Palatino Linotype"/>
          <w:sz w:val="20"/>
          <w:szCs w:val="20"/>
          <w:lang w:val="en-CA"/>
        </w:rPr>
      </w:pP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 xml:space="preserve">An expert in front-end planning, he secured bank financing in under 24 hours through a 57-page business plan—a testament to his ability to articulate complex financial and operational visions. His tenure was marked by a commitment to </w:t>
      </w:r>
      <w:r w:rsidRPr="009A6D3D">
        <w:rPr>
          <w:rFonts w:ascii="Palatino" w:eastAsia="Palatino Linotype" w:hAnsi="Palatino" w:cs="Palatino Linotype"/>
          <w:b/>
          <w:bCs/>
          <w:sz w:val="20"/>
          <w:szCs w:val="20"/>
          <w:lang w:val="en-CA"/>
        </w:rPr>
        <w:t>Regulatory Excellence</w:t>
      </w: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>, where he developed administrative systems so efficient that federal and provincial audits were consistently completed in a fraction of the standard time.</w:t>
      </w:r>
    </w:p>
    <w:p w14:paraId="204023BC" w14:textId="27C6436E" w:rsidR="009A6D3D" w:rsidRPr="009A6D3D" w:rsidRDefault="009A6D3D" w:rsidP="009A6D3D">
      <w:pPr>
        <w:pStyle w:val="p"/>
        <w:spacing w:line="300" w:lineRule="atLeast"/>
        <w:rPr>
          <w:rFonts w:ascii="Palatino" w:eastAsia="Palatino Linotype" w:hAnsi="Palatino" w:cs="Palatino Linotype"/>
          <w:sz w:val="20"/>
          <w:szCs w:val="20"/>
          <w:lang w:val="en-CA"/>
        </w:rPr>
      </w:pP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 xml:space="preserve">With a background in managing high-stakes environments, he personally oversaw the development of a </w:t>
      </w:r>
      <w:r w:rsidRPr="009A6D3D">
        <w:rPr>
          <w:rFonts w:ascii="Palatino" w:eastAsia="Palatino Linotype" w:hAnsi="Palatino" w:cs="Palatino Linotype"/>
          <w:b/>
          <w:bCs/>
          <w:sz w:val="20"/>
          <w:szCs w:val="20"/>
          <w:lang w:val="en-CA"/>
        </w:rPr>
        <w:t>3,000-sq-ft Quonset facility</w:t>
      </w: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 xml:space="preserve">, managing everything from land development to the engineering of 100% off-grid systems. His ability to pivot under pressure was notably demonstrated by transforming a potential product loss into a high-margin wine vinegar line, successfully bypassing specific tax burdens and </w:t>
      </w:r>
      <w:r w:rsidRPr="009A6D3D">
        <w:rPr>
          <w:rFonts w:ascii="Palatino" w:eastAsia="Palatino Linotype" w:hAnsi="Palatino" w:cs="Palatino Linotype"/>
          <w:b/>
          <w:bCs/>
          <w:sz w:val="20"/>
          <w:szCs w:val="20"/>
          <w:lang w:val="en-CA"/>
        </w:rPr>
        <w:t>increasing profit margins by 46%</w:t>
      </w: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>.</w:t>
      </w:r>
    </w:p>
    <w:p w14:paraId="576EFA86" w14:textId="3A42D3A5" w:rsidR="009A6D3D" w:rsidRPr="009A6D3D" w:rsidRDefault="009A6D3D" w:rsidP="009A6D3D">
      <w:pPr>
        <w:pStyle w:val="p"/>
        <w:spacing w:line="300" w:lineRule="atLeast"/>
        <w:rPr>
          <w:rFonts w:ascii="Palatino" w:eastAsia="Palatino Linotype" w:hAnsi="Palatino" w:cs="Palatino Linotype"/>
          <w:sz w:val="20"/>
          <w:szCs w:val="20"/>
          <w:lang w:val="en-CA"/>
        </w:rPr>
      </w:pP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>Following a strategic decision to close the winery in 2019, he successfully transitioned the infrastructure into a sustainable, self-sufficient homestead. This evolution from a commercial enterprise to a self-sufficient lifestyle reflects a deep-seated resilience and the ability to adapt to changing landscapes.</w:t>
      </w:r>
    </w:p>
    <w:p w14:paraId="0B0369C7" w14:textId="77777777" w:rsidR="00C528DA" w:rsidRPr="009A6D3D" w:rsidRDefault="00C528DA" w:rsidP="00C528DA">
      <w:pPr>
        <w:pStyle w:val="p"/>
        <w:spacing w:line="300" w:lineRule="atLeast"/>
        <w:rPr>
          <w:rFonts w:ascii="Palatino" w:eastAsia="Palatino Linotype" w:hAnsi="Palatino" w:cs="Palatino Linotype"/>
          <w:sz w:val="20"/>
          <w:szCs w:val="20"/>
          <w:lang w:val="en-CA"/>
        </w:rPr>
      </w:pP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>This journey serves as a powerful narrative of professional adaptability—proving that true leadership is defined by the ability to build, manage, and evolve when the landscape shifts.</w:t>
      </w:r>
    </w:p>
    <w:p w14:paraId="578DD160" w14:textId="77777777" w:rsidR="009A6D3D" w:rsidRPr="009A6D3D" w:rsidRDefault="009A6D3D" w:rsidP="009A6D3D">
      <w:pPr>
        <w:pStyle w:val="p"/>
        <w:spacing w:line="300" w:lineRule="atLeast"/>
        <w:rPr>
          <w:rFonts w:ascii="Palatino" w:eastAsia="Palatino Linotype" w:hAnsi="Palatino" w:cs="Palatino Linotype"/>
          <w:b/>
          <w:bCs/>
          <w:sz w:val="20"/>
          <w:szCs w:val="20"/>
          <w:lang w:val="en-CA"/>
        </w:rPr>
      </w:pPr>
      <w:r w:rsidRPr="009A6D3D">
        <w:rPr>
          <w:rFonts w:ascii="Palatino" w:eastAsia="Palatino Linotype" w:hAnsi="Palatino" w:cs="Palatino Linotype"/>
          <w:b/>
          <w:bCs/>
          <w:sz w:val="20"/>
          <w:szCs w:val="20"/>
          <w:lang w:val="en-CA"/>
        </w:rPr>
        <w:t>Core Competencies</w:t>
      </w:r>
    </w:p>
    <w:p w14:paraId="76A642E3" w14:textId="77777777" w:rsidR="009A6D3D" w:rsidRPr="009A6D3D" w:rsidRDefault="009A6D3D" w:rsidP="009A6D3D">
      <w:pPr>
        <w:pStyle w:val="p"/>
        <w:numPr>
          <w:ilvl w:val="0"/>
          <w:numId w:val="1"/>
        </w:numPr>
        <w:spacing w:line="300" w:lineRule="atLeast"/>
        <w:rPr>
          <w:rFonts w:ascii="Palatino" w:eastAsia="Palatino Linotype" w:hAnsi="Palatino" w:cs="Palatino Linotype"/>
          <w:sz w:val="20"/>
          <w:szCs w:val="20"/>
          <w:lang w:val="en-CA"/>
        </w:rPr>
      </w:pPr>
      <w:r w:rsidRPr="009A6D3D">
        <w:rPr>
          <w:rFonts w:ascii="Palatino" w:eastAsia="Palatino Linotype" w:hAnsi="Palatino" w:cs="Palatino Linotype"/>
          <w:b/>
          <w:bCs/>
          <w:sz w:val="20"/>
          <w:szCs w:val="20"/>
          <w:lang w:val="en-CA"/>
        </w:rPr>
        <w:t>Strategic &amp; Financial Planning:</w:t>
      </w: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 xml:space="preserve"> Rapid capital acquisition and long-term business modeling.</w:t>
      </w:r>
    </w:p>
    <w:p w14:paraId="6360F7B2" w14:textId="77777777" w:rsidR="009A6D3D" w:rsidRPr="009A6D3D" w:rsidRDefault="009A6D3D" w:rsidP="009A6D3D">
      <w:pPr>
        <w:pStyle w:val="p"/>
        <w:numPr>
          <w:ilvl w:val="0"/>
          <w:numId w:val="1"/>
        </w:numPr>
        <w:spacing w:line="300" w:lineRule="atLeast"/>
        <w:rPr>
          <w:rFonts w:ascii="Palatino" w:eastAsia="Palatino Linotype" w:hAnsi="Palatino" w:cs="Palatino Linotype"/>
          <w:sz w:val="20"/>
          <w:szCs w:val="20"/>
          <w:lang w:val="en-CA"/>
        </w:rPr>
      </w:pPr>
      <w:r w:rsidRPr="009A6D3D">
        <w:rPr>
          <w:rFonts w:ascii="Palatino" w:eastAsia="Palatino Linotype" w:hAnsi="Palatino" w:cs="Palatino Linotype"/>
          <w:b/>
          <w:bCs/>
          <w:sz w:val="20"/>
          <w:szCs w:val="20"/>
          <w:lang w:val="en-CA"/>
        </w:rPr>
        <w:t>Regulatory &amp; Compliance Management:</w:t>
      </w: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 xml:space="preserve"> Specialized in streamlining federal/provincial audit processes.</w:t>
      </w:r>
    </w:p>
    <w:p w14:paraId="1A0B63F9" w14:textId="77777777" w:rsidR="009A6D3D" w:rsidRPr="009A6D3D" w:rsidRDefault="009A6D3D" w:rsidP="009A6D3D">
      <w:pPr>
        <w:pStyle w:val="p"/>
        <w:numPr>
          <w:ilvl w:val="0"/>
          <w:numId w:val="1"/>
        </w:numPr>
        <w:spacing w:line="300" w:lineRule="atLeast"/>
        <w:rPr>
          <w:rFonts w:ascii="Palatino" w:eastAsia="Palatino Linotype" w:hAnsi="Palatino" w:cs="Palatino Linotype"/>
          <w:sz w:val="20"/>
          <w:szCs w:val="20"/>
          <w:lang w:val="en-CA"/>
        </w:rPr>
      </w:pPr>
      <w:r w:rsidRPr="009A6D3D">
        <w:rPr>
          <w:rFonts w:ascii="Palatino" w:eastAsia="Palatino Linotype" w:hAnsi="Palatino" w:cs="Palatino Linotype"/>
          <w:b/>
          <w:bCs/>
          <w:sz w:val="20"/>
          <w:szCs w:val="20"/>
          <w:lang w:val="en-CA"/>
        </w:rPr>
        <w:t>Infrastructure Development:</w:t>
      </w: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 xml:space="preserve"> Management of off-grid systems and large-scale facility construction.</w:t>
      </w:r>
    </w:p>
    <w:p w14:paraId="0E62AF7C" w14:textId="77777777" w:rsidR="00F66EEF" w:rsidRDefault="009A6D3D" w:rsidP="00F66EEF">
      <w:pPr>
        <w:pStyle w:val="p"/>
        <w:numPr>
          <w:ilvl w:val="0"/>
          <w:numId w:val="1"/>
        </w:numPr>
        <w:spacing w:line="300" w:lineRule="atLeast"/>
        <w:rPr>
          <w:rFonts w:ascii="Palatino" w:eastAsia="Palatino Linotype" w:hAnsi="Palatino" w:cs="Palatino Linotype"/>
          <w:sz w:val="20"/>
          <w:szCs w:val="20"/>
          <w:lang w:val="en-CA"/>
        </w:rPr>
      </w:pPr>
      <w:r w:rsidRPr="009A6D3D">
        <w:rPr>
          <w:rFonts w:ascii="Palatino" w:eastAsia="Palatino Linotype" w:hAnsi="Palatino" w:cs="Palatino Linotype"/>
          <w:b/>
          <w:bCs/>
          <w:sz w:val="20"/>
          <w:szCs w:val="20"/>
          <w:lang w:val="en-CA"/>
        </w:rPr>
        <w:t>Crisis Adaptation:</w:t>
      </w:r>
      <w:r w:rsidRPr="009A6D3D">
        <w:rPr>
          <w:rFonts w:ascii="Palatino" w:eastAsia="Palatino Linotype" w:hAnsi="Palatino" w:cs="Palatino Linotype"/>
          <w:sz w:val="20"/>
          <w:szCs w:val="20"/>
          <w:lang w:val="en-CA"/>
        </w:rPr>
        <w:t xml:space="preserve"> Proven track record of pivoting business models for increased profitability.</w:t>
      </w:r>
    </w:p>
    <w:p w14:paraId="26726892" w14:textId="7DB7FC37" w:rsidR="00C528DA" w:rsidRPr="0084298E" w:rsidRDefault="0084298E" w:rsidP="0084298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" w:hAnsi="Palatino"/>
          <w:sz w:val="20"/>
          <w:szCs w:val="20"/>
        </w:rPr>
      </w:pPr>
      <w:r w:rsidRPr="0084298E">
        <w:rPr>
          <w:rFonts w:ascii="Palatino" w:hAnsi="Palatino"/>
          <w:b/>
          <w:bCs/>
          <w:sz w:val="20"/>
          <w:szCs w:val="20"/>
        </w:rPr>
        <w:t>AI Toolbox:</w:t>
      </w:r>
      <w:r w:rsidRPr="0084298E">
        <w:rPr>
          <w:rFonts w:ascii="Palatino" w:hAnsi="Palatino"/>
        </w:rPr>
        <w:t xml:space="preserve"> </w:t>
      </w:r>
      <w:r w:rsidRPr="0084298E">
        <w:rPr>
          <w:rFonts w:ascii="Palatino" w:hAnsi="Palatino"/>
          <w:sz w:val="20"/>
          <w:szCs w:val="20"/>
        </w:rPr>
        <w:t>Completed certification courses in ChatGPT, Claude, Gemini, Jasper, Loveable, and Midjourney.</w:t>
      </w:r>
    </w:p>
    <w:sectPr w:rsidR="00C528DA" w:rsidRPr="0084298E" w:rsidSect="00F66EEF">
      <w:pgSz w:w="12240" w:h="15840"/>
      <w:pgMar w:top="740" w:right="800" w:bottom="45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39D8DEB0-79CC-4FF4-9F83-24A999A83050}"/>
    <w:embedBold r:id="rId2" w:fontKey="{7EFB40FF-DA4C-4B60-8118-9F87537EA652}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  <w:embedRegular r:id="rId3" w:fontKey="{4F85E518-FE8A-47A4-AC0A-6DB5361B6D50}"/>
    <w:embedBold r:id="rId4" w:fontKey="{42B53ED5-466F-4CA7-85F9-6F974098EA5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137FB"/>
    <w:multiLevelType w:val="multilevel"/>
    <w:tmpl w:val="B9CA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1E17D2"/>
    <w:multiLevelType w:val="multilevel"/>
    <w:tmpl w:val="0BD2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E4567"/>
    <w:multiLevelType w:val="multilevel"/>
    <w:tmpl w:val="0420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696032">
    <w:abstractNumId w:val="0"/>
  </w:num>
  <w:num w:numId="2" w16cid:durableId="1397585773">
    <w:abstractNumId w:val="2"/>
  </w:num>
  <w:num w:numId="3" w16cid:durableId="319389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E6A"/>
    <w:rsid w:val="00257B0D"/>
    <w:rsid w:val="002D2B8F"/>
    <w:rsid w:val="00317D82"/>
    <w:rsid w:val="0038242B"/>
    <w:rsid w:val="00504266"/>
    <w:rsid w:val="00505395"/>
    <w:rsid w:val="007B3ABB"/>
    <w:rsid w:val="0084298E"/>
    <w:rsid w:val="00953838"/>
    <w:rsid w:val="009A6D3D"/>
    <w:rsid w:val="00B45771"/>
    <w:rsid w:val="00B83B3D"/>
    <w:rsid w:val="00B91E6A"/>
    <w:rsid w:val="00B95BE6"/>
    <w:rsid w:val="00C528DA"/>
    <w:rsid w:val="00D37BAF"/>
    <w:rsid w:val="00F45E86"/>
    <w:rsid w:val="00F6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49FA"/>
  <w15:docId w15:val="{939278D7-A8AB-49E2-A63D-EF5E1EE7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0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">
    <w:name w:val="div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520" w:lineRule="atLeast"/>
      <w:jc w:val="center"/>
    </w:pPr>
    <w:rPr>
      <w:b/>
      <w:bCs/>
      <w:color w:val="000000"/>
      <w:sz w:val="36"/>
      <w:szCs w:val="36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280" w:lineRule="atLeast"/>
      <w:jc w:val="center"/>
    </w:pPr>
    <w:rPr>
      <w:sz w:val="20"/>
      <w:szCs w:val="20"/>
    </w:rPr>
  </w:style>
  <w:style w:type="paragraph" w:customStyle="1" w:styleId="documentSECTIONCNTCsection">
    <w:name w:val="document_SECTION_CNTC + section"/>
    <w:basedOn w:val="Normal"/>
  </w:style>
  <w:style w:type="paragraph" w:customStyle="1" w:styleId="divdocumentsectionCLparagraph">
    <w:name w:val="div_document_sectionCL_paragraph"/>
    <w:basedOn w:val="Normal"/>
  </w:style>
  <w:style w:type="paragraph" w:customStyle="1" w:styleId="divdocumentsectionCLsinglecolumn">
    <w:name w:val="div_document_sectionCL_singlecolumn"/>
    <w:basedOn w:val="Normal"/>
    <w:rPr>
      <w:sz w:val="22"/>
      <w:szCs w:val="22"/>
    </w:rPr>
  </w:style>
  <w:style w:type="paragraph" w:customStyle="1" w:styleId="p">
    <w:name w:val="p"/>
    <w:basedOn w:val="Normal"/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section">
    <w:name w:val="div_document_section"/>
    <w:basedOn w:val="Normal"/>
  </w:style>
  <w:style w:type="paragraph" w:customStyle="1" w:styleId="divdocumentsinglecolumn">
    <w:name w:val="div_document_singlecolumn"/>
    <w:basedOn w:val="Normal"/>
    <w:rsid w:val="00F66EEF"/>
  </w:style>
  <w:style w:type="paragraph" w:styleId="NormalWeb">
    <w:name w:val="Normal (Web)"/>
    <w:basedOn w:val="Normal"/>
    <w:uiPriority w:val="99"/>
    <w:unhideWhenUsed/>
    <w:rsid w:val="0084298E"/>
    <w:pPr>
      <w:spacing w:before="100" w:beforeAutospacing="1" w:after="100" w:afterAutospacing="1" w:line="240" w:lineRule="auto"/>
      <w:textAlignment w:val="auto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582</Words>
  <Characters>3914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 Gaal</vt:lpstr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Gaal</dc:title>
  <cp:lastModifiedBy>Louis Gaal</cp:lastModifiedBy>
  <cp:revision>11</cp:revision>
  <dcterms:created xsi:type="dcterms:W3CDTF">2026-01-18T21:05:00Z</dcterms:created>
  <dcterms:modified xsi:type="dcterms:W3CDTF">2026-04-14T17:40:00Z</dcterms:modified>
</cp:coreProperties>
</file>